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hanging="1"/>
        <w:jc w:val="center"/>
        <w:rPr>
          <w:rFonts w:ascii="Times New Roman" w:cs="Times New Roman" w:eastAsia="Times New Roman" w:hAnsi="Times New Roman"/>
          <w:vertAlign w:val="subscript"/>
        </w:rPr>
      </w:pPr>
      <w:r w:rsidDel="00000000" w:rsidR="00000000" w:rsidRPr="00000000">
        <w:rPr>
          <w:b w:val="1"/>
          <w:sz w:val="24"/>
          <w:szCs w:val="24"/>
          <w:vertAlign w:val="subscript"/>
        </w:rPr>
        <w:drawing>
          <wp:inline distB="0" distT="0" distL="0" distR="0">
            <wp:extent cx="1733550" cy="102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hanging="1"/>
        <w:jc w:val="center"/>
        <w:rPr>
          <w:rFonts w:ascii="Times New Roman" w:cs="Times New Roman" w:eastAsia="Times New Roman" w:hAnsi="Times New Roman"/>
          <w:vertAlign w:val="sub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Planilha de pontuação 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51.0" w:type="dxa"/>
        <w:jc w:val="center"/>
        <w:tblLayout w:type="fixed"/>
        <w:tblLook w:val="0000"/>
      </w:tblPr>
      <w:tblGrid>
        <w:gridCol w:w="805"/>
        <w:gridCol w:w="239"/>
        <w:gridCol w:w="5145"/>
        <w:gridCol w:w="105"/>
        <w:gridCol w:w="887"/>
        <w:gridCol w:w="235"/>
        <w:gridCol w:w="741"/>
        <w:gridCol w:w="189"/>
        <w:gridCol w:w="705"/>
        <w:tblGridChange w:id="0">
          <w:tblGrid>
            <w:gridCol w:w="805"/>
            <w:gridCol w:w="239"/>
            <w:gridCol w:w="5145"/>
            <w:gridCol w:w="105"/>
            <w:gridCol w:w="887"/>
            <w:gridCol w:w="235"/>
            <w:gridCol w:w="741"/>
            <w:gridCol w:w="189"/>
            <w:gridCol w:w="70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Universidade Federal do Pampa - Campus Bagé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Planilha de pontuação - Mestrado em Ciência e Engenharia de Materiais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ind w:hanging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ATENÇÃO: A (O) CANDIDATA(O) DEVERÁ COMPROVAR A PRODUÇÃO IDENTIFICADA NA PLANILHA (NA ÁREA DE MATERIAIS)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DISCRIMINAÇÃO</w:t>
            </w:r>
          </w:p>
        </w:tc>
        <w:tc>
          <w:tcPr>
            <w:gridSpan w:val="6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PONTUAÇÃO</w:t>
              <w:br w:type="textWrapping"/>
              <w:t xml:space="preserve"> MÁXIMA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gridSpan w:val="8"/>
            <w:vMerge w:val="restart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PRODUÇÃO BIBLIOGRÁFICA - ARTIGOS PUBLICADOS EM PERIÓDICOS CIENTÍFICOS COM CORPO EDITORIAL </w:t>
              <w:br w:type="textWrapping"/>
              <w:t xml:space="preserve">(Somente trabalhos publicados com número do volume e das páginas ou D.O.I.)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A1 (15 pts)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Máx. 50 pts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A2 (12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B1 (10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B2 (8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B3 (5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B4 (3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B5 (2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 classif. Qualis Materiais (1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fator de Impacto &gt; 3 (15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fator de Impacto &gt; 1 (10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fator de Impacto &lt; 1 (5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Livro Editado por editora Internacional (10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Livro Editado por editora nacional (10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Capítulos em livro - editado por editora internacional (7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Capítulos em livro - editado por editora nacional (4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completos em anais de eventos internacionais (2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completos em anais de eventos nacionais (1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Resumos e resumos expandidos (0,5 pts 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 ou resumo expandido publicado em Anais de evento de âmbito regional</w:t>
              <w:br w:type="textWrapping"/>
              <w:t xml:space="preserve"> ou Salão de Iniciação Científica  (ex.: SIEPE) (0,5 pts)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ind w:hanging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20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gridSpan w:val="8"/>
            <w:vMerge w:val="restart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PARTICIPAÇÃO EM CONGRESSOS, SEMINÁRIOS, CURSOS, OFICINAS, PALESTRAS E SIMILARES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Ministrante (2,5 pts por evento)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Máx. 20 pts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Ouvinte (0,5 pts por evento)</w:t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spacing w:line="240" w:lineRule="auto"/>
              <w:ind w:hanging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gridSpan w:val="8"/>
            <w:vMerge w:val="restart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PRODUÇÃO TECNOLÓGICA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Desenvolvimento ou geração de produtos com patente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Máx. 10 pts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6">
            <w:pPr>
              <w:spacing w:line="240" w:lineRule="auto"/>
              <w:ind w:hanging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D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gridSpan w:val="8"/>
            <w:vMerge w:val="restart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PARTICIPAÇÃO EM PROJETOS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1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Pesquisa (5 pts)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Máx. 15 pts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A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Ensino (2,5 pts)</w:t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Extensão e Trabalhos Profissionais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(5 pts)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C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B3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gridSpan w:val="8"/>
            <w:vMerge w:val="restart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ind w:hanging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(NA ÁREA de Materiais)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lef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de Especialização ( 5 pontos)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Créditos cursados em Programa de Pós-Graduação (0,5 pontos por crédito)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B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Máx. 9 pontos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1">
            <w:pPr>
              <w:spacing w:line="240" w:lineRule="auto"/>
              <w:ind w:hanging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ind w:hanging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DA">
      <w:pPr>
        <w:spacing w:line="276" w:lineRule="auto"/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76" w:lineRule="auto"/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bscript"/>
        </w:rPr>
        <w:drawing>
          <wp:inline distB="0" distT="0" distL="0" distR="0">
            <wp:extent cx="1733550" cy="1028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DE PONTUAÇÃO PARA AVALIAÇÃO DO HISTÓRICO ESCOLAR DOS CANDIDATOS</w:t>
      </w:r>
    </w:p>
    <w:p w:rsidR="00000000" w:rsidDel="00000000" w:rsidP="00000000" w:rsidRDefault="00000000" w:rsidRPr="00000000" w14:paraId="000001DE">
      <w:pPr>
        <w:widowControl w:val="0"/>
        <w:spacing w:line="360" w:lineRule="auto"/>
        <w:ind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55.0" w:type="pct"/>
        <w:tblLayout w:type="fixed"/>
        <w:tblLook w:val="0000"/>
      </w:tblPr>
      <w:tblGrid>
        <w:gridCol w:w="5833"/>
        <w:gridCol w:w="3237"/>
        <w:tblGridChange w:id="0">
          <w:tblGrid>
            <w:gridCol w:w="5833"/>
            <w:gridCol w:w="3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z w:val="24"/>
                <w:szCs w:val="24"/>
                <w:rtl w:val="0"/>
              </w:rPr>
              <w:t xml:space="preserve">Componentes curriculares (ou equivalentes)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200" w:line="276" w:lineRule="auto"/>
              <w:ind w:hanging="1"/>
              <w:jc w:val="center"/>
              <w:rPr>
                <w:rFonts w:ascii="Liberation Serif" w:cs="Liberation Serif" w:eastAsia="Liberation Serif" w:hAnsi="Liberation Serif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z w:val="24"/>
                <w:szCs w:val="24"/>
                <w:rtl w:val="0"/>
              </w:rPr>
              <w:t xml:space="preserve">Nota (Conceito)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Física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Física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Equações Diferenciais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Ciência dos Materiais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Termodinâmica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Fenômenos de Transportes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Química Geral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1"/>
              <w:spacing w:after="200" w:line="276" w:lineRule="auto"/>
              <w:ind w:hanging="1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Estatística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1"/>
              <w:spacing w:after="200" w:line="276" w:lineRule="auto"/>
              <w:ind w:hanging="1"/>
              <w:jc w:val="righ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Média =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200" w:line="276" w:lineRule="auto"/>
              <w:ind w:hanging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spacing w:line="276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